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tbl>
      <w:tblPr>
        <w:tblW w:w="688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05"/>
        <w:gridCol w:w="160"/>
        <w:gridCol w:w="755"/>
        <w:gridCol w:w="499"/>
        <w:gridCol w:w="825"/>
        <w:gridCol w:w="1284"/>
        <w:gridCol w:w="189"/>
        <w:gridCol w:w="160"/>
        <w:gridCol w:w="814"/>
        <w:gridCol w:w="160"/>
        <w:gridCol w:w="1530"/>
      </w:tblGrid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74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</w:rPr>
              <w:t>First name and surname</w:t>
            </w:r>
          </w:p>
        </w:tc>
        <w:tc>
          <w:tcPr>
            <w:tcW w:type="dxa" w:w="413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Goran Tuli</w:t>
            </w:r>
            <w:r>
              <w:rPr>
                <w:rFonts w:ascii="Times New Roman" w:cs="Cambria" w:hAnsi="Times New Roman" w:eastAsia="Cambria" w:hint="defaul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ć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74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</w:rPr>
              <w:t>Title</w:t>
            </w:r>
          </w:p>
        </w:tc>
        <w:tc>
          <w:tcPr>
            <w:tcW w:type="dxa" w:w="413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Full Professor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2744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  <w:lang w:val="en-US"/>
              </w:rPr>
              <w:t>Specific scientific field</w:t>
            </w:r>
          </w:p>
        </w:tc>
        <w:tc>
          <w:tcPr>
            <w:tcW w:type="dxa" w:w="413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Surgery-Ort.surgery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1"/>
                <w:bCs w:val="1"/>
                <w:rtl w:val="0"/>
              </w:rPr>
              <w:t xml:space="preserve">Academic Career 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tl w:val="0"/>
              </w:rPr>
              <w:t xml:space="preserve">Year 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tl w:val="0"/>
              </w:rPr>
              <w:t xml:space="preserve">Institution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rtl w:val="0"/>
              </w:rPr>
              <w:t xml:space="preserve">Scientific field 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Specific scientific field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Professorate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2021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MF UB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Surgery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Ort.surgery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PhD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2003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MF UB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Surgery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Ort.surgery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Specialization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1995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MF UB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Surgery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Ort.surgery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Master</w:t>
            </w:r>
            <w:r>
              <w:rPr>
                <w:sz w:val="18"/>
                <w:szCs w:val="18"/>
                <w:rtl w:val="0"/>
                <w:lang w:val="en-US"/>
              </w:rPr>
              <w:t>’</w:t>
            </w:r>
            <w:r>
              <w:rPr>
                <w:sz w:val="18"/>
                <w:szCs w:val="18"/>
                <w:rtl w:val="0"/>
                <w:lang w:val="en-US"/>
              </w:rPr>
              <w:t>s degree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1996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MF UB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Surgery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Ort.surgery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1919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sz w:val="18"/>
                <w:szCs w:val="18"/>
                <w:rtl w:val="0"/>
                <w:lang w:val="en-US"/>
              </w:rPr>
              <w:t>Diploma</w:t>
            </w:r>
          </w:p>
        </w:tc>
        <w:tc>
          <w:tcPr>
            <w:tcW w:type="dxa" w:w="8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1990</w:t>
            </w:r>
          </w:p>
        </w:tc>
        <w:tc>
          <w:tcPr>
            <w:tcW w:type="dxa" w:w="12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 xml:space="preserve">MF UB </w:t>
            </w:r>
          </w:p>
        </w:tc>
        <w:tc>
          <w:tcPr>
            <w:tcW w:type="dxa" w:w="1323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Surgery</w:t>
            </w:r>
          </w:p>
        </w:tc>
        <w:tc>
          <w:tcPr>
            <w:tcW w:type="dxa" w:w="152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Ort.surgery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Teacher</w:t>
            </w:r>
            <w:r>
              <w:rPr>
                <w:b w:val="1"/>
                <w:bCs w:val="1"/>
                <w:rtl w:val="0"/>
                <w:lang w:val="en-US"/>
              </w:rPr>
              <w:t>’</w:t>
            </w:r>
            <w:r>
              <w:rPr>
                <w:b w:val="1"/>
                <w:bCs w:val="1"/>
                <w:rtl w:val="0"/>
                <w:lang w:val="en-US"/>
              </w:rPr>
              <w:t>s list of courses at PhD studies</w:t>
            </w:r>
            <w:r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No</w:t>
            </w:r>
            <w:r>
              <w:rPr>
                <w:b w:val="1"/>
                <w:bCs w:val="1"/>
                <w:rtl w:val="0"/>
              </w:rPr>
              <w:t>.</w:t>
            </w:r>
          </w:p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Ref.</w:t>
            </w:r>
            <w:r>
              <w:rPr>
                <w:b w:val="1"/>
                <w:bCs w:val="1"/>
                <w:rtl w:val="0"/>
              </w:rPr>
              <w:t xml:space="preserve"> </w:t>
            </w:r>
          </w:p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Course Title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</w:t>
            </w:r>
          </w:p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RHir_m03</w:t>
            </w:r>
          </w:p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1"/>
            </w:pPr>
            <w:r>
              <w:rPr>
                <w:sz w:val="22"/>
                <w:szCs w:val="22"/>
                <w:rtl w:val="0"/>
              </w:rPr>
              <w:t>Non-biological materials in reconstruction of organs and organic systems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</w:t>
            </w:r>
          </w:p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RHir_e03</w:t>
            </w:r>
          </w:p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</w:rPr>
              <w:t>Biological and clinical aspects of musculoskeletal reconstructive surgery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50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1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5461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0"/>
                <w:bCs w:val="0"/>
                <w:rtl w:val="0"/>
              </w:rPr>
              <w:t xml:space="preserve">The most significant </w:t>
            </w:r>
            <w:r>
              <w:rPr>
                <w:b w:val="0"/>
                <w:bCs w:val="0"/>
                <w:rtl w:val="0"/>
                <w:lang w:val="en-US"/>
              </w:rPr>
              <w:t>papers</w:t>
            </w:r>
            <w:r>
              <w:rPr>
                <w:b w:val="0"/>
                <w:bCs w:val="0"/>
                <w:rtl w:val="0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>
        <w:tblPrEx>
          <w:shd w:val="clear" w:color="auto" w:fill="ced7e7"/>
        </w:tblPrEx>
        <w:trPr>
          <w:trHeight w:val="2161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1</w:t>
            </w:r>
          </w:p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1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Sreckovic Svetlana D.,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Tulic Goran DZ.,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 Jokanovic Maja N., Dabetic Uros Dj., Kadija Marko V.: Delayed droop foot after a combination of the adductor canal block and IPAK block following total kne arthroplasty. (2021); J Clin Anesth., vol.73: EPUB Jun 4.</w:t>
              <w:tab/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9,452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641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</w:t>
            </w:r>
          </w:p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2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E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milija Dubljanin-Raspopovic, Winfried Meissner, Ruth Zaslansky, Marko Kadija, Sanja Tomanovic-Vijadinovic,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: Assocciations between early postoperative pain outcome and late functional outcomes in patients after knee arthroplasty. (2021); PloS ONE 16(7): e0253147, 1-11.                        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2,870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01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3</w:t>
            </w:r>
          </w:p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3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Ivan Selakovic, Emilija Dubljanin-Raspopovic, Ljiljana Markovic-Denic, Vuk Maru</w:t>
            </w:r>
            <w:r>
              <w:rPr>
                <w:rFonts w:ascii="Times New Roman" w:hAnsi="Times New Roman" w:hint="default"/>
                <w:sz w:val="22"/>
                <w:szCs w:val="22"/>
                <w:rtl w:val="0"/>
                <w:lang w:val="en-US"/>
              </w:rPr>
              <w:t>š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ic, Andja Cirkovic, Marko Kadija, Sanja Tomanovic-Vujadinovic,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: Can early assessment of hand grip strenght in older hip fracture patients predict functional outcome?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(2019) 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>PloS ONE 14(8): e0213223, 1-10</w:t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2,870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361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4</w:t>
            </w:r>
          </w:p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4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Nemanja Damjanov, Branko Barac, Jelena Colic, Vladan Stevanovic, Ana Zekovic, </w:t>
            </w: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 (NP): The efficacy and safety of autologous conditioned serum (ACS) injectiones compared with betamethasone and placebo injectiones in the treatment of chronic shoulder pain due to supraspinatus tendinopathy: a prospective, randomized, double-blind, controlled study. Med Ultrason 2018; Vol.2 (3): 335-341 </w:t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1.11</w:t>
            </w:r>
            <w:r>
              <w:rPr>
                <w:rFonts w:ascii="Times New Roman" w:hAnsi="Times New Roman"/>
                <w:color w:val="000000"/>
                <w:kern w:val="36"/>
                <w:sz w:val="22"/>
                <w:szCs w:val="22"/>
                <w:u w:color="000000"/>
                <w:rtl w:val="0"/>
                <w:lang w:val="en-US"/>
              </w:rPr>
              <w:t xml:space="preserve">. 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3361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5</w:t>
            </w:r>
          </w:p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widowControl w:val="1"/>
              <w:numPr>
                <w:ilvl w:val="0"/>
                <w:numId w:val="5"/>
              </w:numPr>
              <w:bidi w:val="0"/>
              <w:ind w:right="0"/>
              <w:jc w:val="both"/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rtl w:val="0"/>
                <w:lang w:val="en-US"/>
              </w:rPr>
              <w:t>Goran Tulic</w:t>
            </w:r>
            <w:r>
              <w:rPr>
                <w:rFonts w:ascii="Times New Roman" w:hAnsi="Times New Roman"/>
                <w:sz w:val="22"/>
                <w:szCs w:val="22"/>
                <w:rtl w:val="0"/>
                <w:lang w:val="en-US"/>
              </w:rPr>
              <w:t xml:space="preserve">, Emilija Dubljanin-Raspopovic, Sanja Tomanovic-Vujadinovic, Jelena Sopta, Aleksandar Todorovic, Radovan Manojlovic : Prologed pre-operative hospital stay as a predictive factor for early outcomes and mortality after geriatric hip fracture surgery:a single institution open prospective cohort study. International Orthopaedics (SICOT) 2018; 42: 25-31. </w:t>
              <w:tab/>
              <w:tab/>
              <w:tab/>
              <w:tab/>
              <w:tab/>
              <w:tab/>
            </w:r>
            <w:r>
              <w:rPr>
                <w:rFonts w:ascii="Times New Roman" w:hAnsi="Times New Roman"/>
                <w:b w:val="1"/>
                <w:bCs w:val="1"/>
                <w:sz w:val="22"/>
                <w:szCs w:val="22"/>
                <w:rtl w:val="0"/>
                <w:lang w:val="en-US"/>
              </w:rPr>
              <w:t>M21 IF 2.52</w:t>
            </w:r>
          </w:p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65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712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50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b w:val="1"/>
                <w:bCs w:val="1"/>
                <w:rtl w:val="0"/>
                <w:lang w:val="en-US"/>
              </w:rPr>
              <w:t>Cumulative data of teacher</w:t>
            </w:r>
            <w:r>
              <w:rPr>
                <w:b w:val="1"/>
                <w:bCs w:val="1"/>
                <w:rtl w:val="0"/>
                <w:lang w:val="en-US"/>
              </w:rPr>
              <w:t>’</w:t>
            </w:r>
            <w:r>
              <w:rPr>
                <w:b w:val="1"/>
                <w:bCs w:val="1"/>
                <w:rtl w:val="0"/>
                <w:lang w:val="en-US"/>
              </w:rPr>
              <w:t>s scientific activity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Total number of citations, without autocitations</w:t>
            </w:r>
          </w:p>
        </w:tc>
        <w:tc>
          <w:tcPr>
            <w:tcW w:type="dxa" w:w="2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Over 280</w:t>
            </w:r>
          </w:p>
        </w:tc>
      </w:tr>
      <w:tr>
        <w:tblPrEx>
          <w:shd w:val="clear" w:color="auto" w:fill="ced7e7"/>
        </w:tblPrEx>
        <w:trPr>
          <w:trHeight w:val="44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>Total number of papers from the SCI (or SSCI) list</w:t>
            </w:r>
          </w:p>
        </w:tc>
        <w:tc>
          <w:tcPr>
            <w:tcW w:type="dxa" w:w="2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27</w:t>
            </w:r>
          </w:p>
        </w:tc>
      </w:tr>
      <w:tr>
        <w:tblPrEx>
          <w:shd w:val="clear" w:color="auto" w:fill="ced7e7"/>
        </w:tblPrEx>
        <w:trPr>
          <w:trHeight w:val="1721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  <w:rPr>
                <w:b w:val="0"/>
                <w:bCs w:val="0"/>
              </w:rPr>
            </w:pPr>
            <w:r>
              <w:rPr>
                <w:b w:val="0"/>
                <w:bCs w:val="0"/>
                <w:rtl w:val="0"/>
              </w:rPr>
              <w:t>Current participation in projects</w:t>
            </w:r>
          </w:p>
          <w:p>
            <w:pPr>
              <w:pStyle w:val="Normal.0"/>
              <w:widowControl w:val="1"/>
              <w:jc w:val="both"/>
            </w:pP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</w:rPr>
              <w:t>“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Efikasnost i bezbednost primene autolognih mati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č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 xml:space="preserve">nih 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ć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elija iz ko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š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tane sr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ž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i (BMSC) u kombinaciji sa plazmom oboga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  <w:lang w:val="en-US"/>
              </w:rPr>
              <w:t>ć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enim trombocitima (PRP) u terapiji osteoartritisa kolena</w:t>
            </w:r>
            <w:r>
              <w:rPr>
                <w:rFonts w:ascii="Times New Roman" w:cs="Calibri" w:hAnsi="Times New Roman" w:eastAsia="Calibri" w:hint="default"/>
                <w:sz w:val="22"/>
                <w:szCs w:val="22"/>
                <w:rtl w:val="0"/>
              </w:rPr>
              <w:t>”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 xml:space="preserve"> (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P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I 202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</w:rPr>
              <w:t>0</w:t>
            </w:r>
            <w:r>
              <w:rPr>
                <w:rFonts w:ascii="Times New Roman" w:cs="Calibri" w:hAnsi="Times New Roman" w:eastAsia="Calibri"/>
                <w:sz w:val="22"/>
                <w:szCs w:val="22"/>
                <w:rtl w:val="0"/>
                <w:lang w:val="en-US"/>
              </w:rPr>
              <w:t>)-Investigator initiated study</w:t>
            </w:r>
          </w:p>
        </w:tc>
        <w:tc>
          <w:tcPr>
            <w:tcW w:type="dxa" w:w="97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rtl w:val="0"/>
                <w:lang w:val="en-US"/>
              </w:rPr>
              <w:t>Domestic</w:t>
            </w:r>
          </w:p>
          <w:p>
            <w:pPr>
              <w:pStyle w:val="Normal.0"/>
              <w:spacing w:after="60"/>
            </w:pPr>
            <w:r>
              <w:rPr>
                <w:b w:val="0"/>
                <w:bCs w:val="0"/>
                <w:rtl w:val="0"/>
                <w:lang w:val="en-US"/>
              </w:rPr>
              <w:t xml:space="preserve">       1</w:t>
            </w:r>
          </w:p>
        </w:tc>
        <w:tc>
          <w:tcPr>
            <w:tcW w:type="dxa" w:w="1689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60"/>
            </w:pPr>
            <w:r>
              <w:rPr>
                <w:b w:val="0"/>
                <w:bCs w:val="0"/>
                <w:rtl w:val="0"/>
                <w:lang w:val="en-US"/>
              </w:rPr>
              <w:t>International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4217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Trainings</w:t>
            </w:r>
          </w:p>
        </w:tc>
        <w:tc>
          <w:tcPr>
            <w:tcW w:type="dxa" w:w="2664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Times New Roman" w:cs="Cambria" w:hAnsi="Times New Roman" w:eastAsia="Cambr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</w:rPr>
              <w:t>Italy, France, Germany, UK</w:t>
            </w:r>
          </w:p>
        </w:tc>
      </w:tr>
      <w:tr>
        <w:tblPrEx>
          <w:shd w:val="clear" w:color="auto" w:fill="ced7e7"/>
        </w:tblPrEx>
        <w:trPr>
          <w:trHeight w:val="88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  <w:lang w:val="en-US"/>
              </w:rPr>
              <w:t>Other relevant data</w:t>
            </w:r>
            <w:r>
              <w:rPr>
                <w:rtl w:val="0"/>
                <w:lang w:val="en-US"/>
              </w:rPr>
              <w:t xml:space="preserve">.  Specialisation in Italy 2005; Head, Orthopaedic surgery and Traumatology Speciality program School of Medicine, Univ.of Belgrade; From 2015 till 2021 participated in more than 15 professional courses or symposiums as a Chairperson or invited speaker; </w:t>
            </w:r>
            <w:r>
              <w:rPr>
                <w:rtl w:val="0"/>
                <w:lang w:val="en-US"/>
              </w:rPr>
              <w:t>AOTrauma Europe (MID) regional Faculty.</w:t>
            </w:r>
          </w:p>
        </w:tc>
      </w:tr>
      <w:tr>
        <w:tblPrEx>
          <w:shd w:val="clear" w:color="auto" w:fill="ced7e7"/>
        </w:tblPrEx>
        <w:trPr>
          <w:trHeight w:val="222" w:hRule="atLeast"/>
        </w:trPr>
        <w:tc>
          <w:tcPr>
            <w:tcW w:type="dxa" w:w="6881"/>
            <w:gridSpan w:val="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tl w:val="0"/>
              </w:rPr>
              <w:t xml:space="preserve">The maximum length must not exceed </w:t>
            </w:r>
            <w:r>
              <w:rPr>
                <w:rtl w:val="0"/>
                <w:lang w:val="en-US"/>
              </w:rPr>
              <w:t>1</w:t>
            </w:r>
            <w:r>
              <w:rPr>
                <w:rtl w:val="0"/>
              </w:rPr>
              <w:t xml:space="preserve"> A4 page</w:t>
            </w:r>
          </w:p>
        </w:tc>
      </w:tr>
    </w:tbl>
    <w:p>
      <w:pPr>
        <w:pStyle w:val="Normal.0"/>
        <w:jc w:val="center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spacing w:after="60"/>
      <w:jc w:val="center"/>
    </w:pPr>
    <w:r>
      <w:rPr>
        <w:b w:val="1"/>
        <w:bCs w:val="1"/>
        <w:sz w:val="22"/>
        <w:szCs w:val="22"/>
        <w:rtl w:val="0"/>
        <w:lang w:val="en-US"/>
      </w:rPr>
      <w:t>Table 9.6 Teacher</w:t>
    </w:r>
    <w:r>
      <w:rPr>
        <w:b w:val="1"/>
        <w:bCs w:val="1"/>
        <w:sz w:val="22"/>
        <w:szCs w:val="22"/>
        <w:rtl w:val="0"/>
        <w:lang w:val="en-US"/>
      </w:rPr>
      <w:t>’</w:t>
    </w:r>
    <w:r>
      <w:rPr>
        <w:b w:val="1"/>
        <w:bCs w:val="1"/>
        <w:sz w:val="22"/>
        <w:szCs w:val="22"/>
        <w:rtl w:val="0"/>
        <w:lang w:val="en-US"/>
      </w:rPr>
      <w:t>s Competence</w:t>
    </w:r>
    <w:r>
      <w:rPr>
        <w:sz w:val="22"/>
        <w:szCs w:val="22"/>
        <w:lang w:val="en-US"/>
      </w:rPr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9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1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3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5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7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9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21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6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8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0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2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6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8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6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8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0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2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6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8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6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8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0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2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6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8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ind w:left="45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1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6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8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30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02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4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6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85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Heading 4">
    <w:name w:val="Heading 4"/>
    <w:next w:val="Heading 4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